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007E" w14:textId="77777777" w:rsidR="00D82574" w:rsidRDefault="00D82574" w:rsidP="00D82574">
      <w:pPr>
        <w:pStyle w:val="OZNPROJEKTUwskazaniedatylubwersjiprojektu"/>
      </w:pPr>
      <w:r>
        <w:t>projekt</w:t>
      </w:r>
    </w:p>
    <w:p w14:paraId="1A7BBBD7" w14:textId="77777777" w:rsidR="00D82574" w:rsidRPr="00E000DC" w:rsidRDefault="00D82574" w:rsidP="00D82574">
      <w:pPr>
        <w:pStyle w:val="OZNRODZAKTUtznustawalubrozporzdzenieiorganwydajcy"/>
      </w:pPr>
      <w:r w:rsidRPr="004810D7">
        <w:t>ustawa</w:t>
      </w:r>
    </w:p>
    <w:p w14:paraId="17E1E752" w14:textId="77777777" w:rsidR="00D82574" w:rsidRDefault="00D82574" w:rsidP="00D82574">
      <w:pPr>
        <w:pStyle w:val="DATAAKTUdatauchwalenialubwydaniaaktu"/>
      </w:pPr>
      <w:r w:rsidRPr="00E000DC">
        <w:t>z dnia</w:t>
      </w:r>
      <w:r>
        <w:t xml:space="preserve"> </w:t>
      </w:r>
    </w:p>
    <w:p w14:paraId="507401D1" w14:textId="77777777" w:rsidR="00D82574" w:rsidRDefault="00D82574" w:rsidP="00D82574">
      <w:pPr>
        <w:pStyle w:val="TYTUAKTUprzedmiotregulacjiustawylubrozporzdzenia"/>
      </w:pPr>
      <w:r>
        <w:t xml:space="preserve">o zmianie ustawy </w:t>
      </w:r>
      <w:r w:rsidRPr="00D22764">
        <w:t>o zagospodarowaniu wspólnot gruntowych</w:t>
      </w:r>
      <w:r>
        <w:t xml:space="preserve"> </w:t>
      </w:r>
    </w:p>
    <w:p w14:paraId="0D767E47" w14:textId="77777777" w:rsidR="00D82574" w:rsidRDefault="00D82574" w:rsidP="00D82574">
      <w:pPr>
        <w:pStyle w:val="ARTartustawynprozporzdzenia"/>
      </w:pPr>
      <w:r w:rsidRPr="006443F8">
        <w:rPr>
          <w:rStyle w:val="Ppogrubienie"/>
        </w:rPr>
        <w:t>Art. 1.</w:t>
      </w:r>
      <w:r w:rsidRPr="00D22764">
        <w:t xml:space="preserve"> </w:t>
      </w:r>
      <w:r>
        <w:t xml:space="preserve">W ustawie </w:t>
      </w:r>
      <w:r w:rsidRPr="00FB138D">
        <w:t>z dnia 29 czerwca 1963 r.</w:t>
      </w:r>
      <w:r>
        <w:t xml:space="preserve"> </w:t>
      </w:r>
      <w:r w:rsidRPr="00FB138D">
        <w:t xml:space="preserve">o zagospodarowaniu wspólnot gruntowych </w:t>
      </w:r>
      <w:r>
        <w:t>(Dz. U. z 2022</w:t>
      </w:r>
      <w:r w:rsidRPr="004C2729">
        <w:t xml:space="preserve"> r. poz.</w:t>
      </w:r>
      <w:r>
        <w:t xml:space="preserve"> 140</w:t>
      </w:r>
      <w:r w:rsidRPr="004C2729">
        <w:t>)</w:t>
      </w:r>
      <w:r>
        <w:t xml:space="preserve"> art. 8o otrzymuje brzmienie:</w:t>
      </w:r>
    </w:p>
    <w:p w14:paraId="15D72AFC" w14:textId="77777777" w:rsidR="00D82574" w:rsidRDefault="00D82574" w:rsidP="00D82574">
      <w:pPr>
        <w:pStyle w:val="ZARTzmartartykuempunktem"/>
      </w:pPr>
      <w:r>
        <w:t xml:space="preserve">„Art. 8o. 1. </w:t>
      </w:r>
      <w:r w:rsidRPr="00446AF3">
        <w:t>Do postępowań dotyczących wzruszenia decyzji ostatecznych wydanych na podstawie niniejszej ustawy nie stosuje się art. 145</w:t>
      </w:r>
      <w:r>
        <w:t>–</w:t>
      </w:r>
      <w:r w:rsidRPr="00446AF3">
        <w:t>145b</w:t>
      </w:r>
      <w:r>
        <w:t>,</w:t>
      </w:r>
      <w:r w:rsidRPr="00446AF3">
        <w:t xml:space="preserve"> art. 154</w:t>
      </w:r>
      <w:r>
        <w:t xml:space="preserve"> </w:t>
      </w:r>
      <w:r w:rsidRPr="00446AF3">
        <w:t>oraz</w:t>
      </w:r>
      <w:r>
        <w:t xml:space="preserve"> art. </w:t>
      </w:r>
      <w:r w:rsidRPr="00446AF3">
        <w:t>15</w:t>
      </w:r>
      <w:r>
        <w:t>5</w:t>
      </w:r>
      <w:r w:rsidRPr="00446AF3">
        <w:t xml:space="preserve"> ustawy z</w:t>
      </w:r>
      <w:r>
        <w:t> </w:t>
      </w:r>
      <w:r w:rsidRPr="00446AF3">
        <w:t xml:space="preserve">dnia 14 czerwca 1960 r. </w:t>
      </w:r>
      <w:r>
        <w:t>–</w:t>
      </w:r>
      <w:r w:rsidRPr="00446AF3">
        <w:t xml:space="preserve"> Kodeks postępowania administracyjnego, jeżeli upłynęło 5</w:t>
      </w:r>
      <w:r>
        <w:t> </w:t>
      </w:r>
      <w:r w:rsidRPr="00446AF3">
        <w:t>lat od dnia, w którym stała się ostateczna, decyzja o ustaleniu, które nieruchomości stanowią wspólnotę gruntową, ustaleniu wykazu uprawnionych do udziału we wspólnocie gruntowej oraz wykazu obszarów gospodarstw rolnych przez nich posiadanych i</w:t>
      </w:r>
      <w:r>
        <w:t> </w:t>
      </w:r>
      <w:r w:rsidRPr="00446AF3">
        <w:t>wielkości przysługujących im udziałów we wspólnocie.</w:t>
      </w:r>
    </w:p>
    <w:p w14:paraId="7A98BA12" w14:textId="77777777" w:rsidR="00D82574" w:rsidRDefault="00D82574" w:rsidP="00D82574">
      <w:pPr>
        <w:pStyle w:val="ZUSTzmustartykuempunktem"/>
      </w:pPr>
      <w:r>
        <w:t>2. N</w:t>
      </w:r>
      <w:r w:rsidRPr="00412803">
        <w:t>ie stwierdz</w:t>
      </w:r>
      <w:r>
        <w:t>a</w:t>
      </w:r>
      <w:r w:rsidRPr="00412803">
        <w:t xml:space="preserve"> </w:t>
      </w:r>
      <w:r>
        <w:t xml:space="preserve">się </w:t>
      </w:r>
      <w:r w:rsidRPr="00412803">
        <w:t>nieważności decyzji</w:t>
      </w:r>
      <w:r w:rsidRPr="00446AF3">
        <w:t xml:space="preserve"> </w:t>
      </w:r>
      <w:bookmarkStart w:id="0" w:name="_Hlk185406383"/>
      <w:r w:rsidRPr="00446AF3">
        <w:t>o ustaleniu, które nieruchomości stanowią wspólnotę gruntową, ustaleniu wykazu uprawnionych do udziału we wspólnocie gruntowej oraz wykazu obszarów gospodarstw rolnych przez nich posiadanych i</w:t>
      </w:r>
      <w:r>
        <w:t> </w:t>
      </w:r>
      <w:r w:rsidRPr="00446AF3">
        <w:t>wielkości przysługujących im udziałów we wspólnocie</w:t>
      </w:r>
      <w:bookmarkEnd w:id="0"/>
      <w:r>
        <w:t>, jeżeli od dnia, w którym decyzja stała się ostateczna, upłynęło 5 lat.”.</w:t>
      </w:r>
      <w:r w:rsidRPr="00412803">
        <w:t xml:space="preserve"> </w:t>
      </w:r>
    </w:p>
    <w:p w14:paraId="50272B0A" w14:textId="77777777" w:rsidR="00D82574" w:rsidRDefault="00D82574" w:rsidP="00D82574">
      <w:pPr>
        <w:pStyle w:val="ARTartustawynprozporzdzenia"/>
      </w:pPr>
      <w:r>
        <w:rPr>
          <w:rStyle w:val="Ppogrubienie"/>
        </w:rPr>
        <w:t>Art. 2</w:t>
      </w:r>
      <w:r w:rsidRPr="00793394">
        <w:rPr>
          <w:rStyle w:val="Ppogrubienie"/>
        </w:rPr>
        <w:t>.</w:t>
      </w:r>
      <w:r>
        <w:t xml:space="preserve"> </w:t>
      </w:r>
      <w:r w:rsidRPr="00191E26">
        <w:t>Do postępowań</w:t>
      </w:r>
      <w:r>
        <w:t xml:space="preserve"> administracyjnych w sprawach stwierdzenia nieważności decyzji</w:t>
      </w:r>
      <w:r w:rsidRPr="00191E26">
        <w:t xml:space="preserve">, o których mowa w art. </w:t>
      </w:r>
      <w:r>
        <w:t>8o ustawy zmienianej w art. 1, wszczętych</w:t>
      </w:r>
      <w:r w:rsidRPr="00EC1301">
        <w:t xml:space="preserve"> </w:t>
      </w:r>
      <w:r>
        <w:t xml:space="preserve">i </w:t>
      </w:r>
      <w:r w:rsidRPr="00191E26">
        <w:t>niezakończonych przed dniem wejścia w życie niniejszej ustawy</w:t>
      </w:r>
      <w:r>
        <w:t>,</w:t>
      </w:r>
      <w:r w:rsidRPr="00191E26">
        <w:t xml:space="preserve"> stosuje si</w:t>
      </w:r>
      <w:r>
        <w:t>ę przepisy art. 8o ustawy zmienianej w art. 1, w brzmieniu nadanym niniejszą ustawą.</w:t>
      </w:r>
      <w:r w:rsidRPr="00AE28FC">
        <w:t xml:space="preserve"> </w:t>
      </w:r>
    </w:p>
    <w:p w14:paraId="09AB0B0F" w14:textId="77777777" w:rsidR="00D82574" w:rsidRDefault="00D82574" w:rsidP="00D82574">
      <w:pPr>
        <w:pStyle w:val="ARTartustawynprozporzdzenia"/>
      </w:pPr>
      <w:r w:rsidRPr="00793394">
        <w:rPr>
          <w:rStyle w:val="Ppogrubienie"/>
        </w:rPr>
        <w:t xml:space="preserve">Art. </w:t>
      </w:r>
      <w:r>
        <w:rPr>
          <w:rStyle w:val="Ppogrubienie"/>
        </w:rPr>
        <w:t>3</w:t>
      </w:r>
      <w:r w:rsidRPr="00793394">
        <w:rPr>
          <w:rStyle w:val="Ppogrubienie"/>
        </w:rPr>
        <w:t>.</w:t>
      </w:r>
      <w:r>
        <w:t xml:space="preserve"> Ustawa wchodzi w życie po upływie 14</w:t>
      </w:r>
      <w:r w:rsidRPr="00793394">
        <w:t xml:space="preserve"> dni od dnia ogłoszenia.</w:t>
      </w:r>
    </w:p>
    <w:p w14:paraId="30D79983" w14:textId="77777777" w:rsidR="00D82574" w:rsidRDefault="00D82574">
      <w:pPr>
        <w:sectPr w:rsidR="00D82574" w:rsidSect="001A7F15">
          <w:headerReference w:type="default" r:id="rId7"/>
          <w:footnotePr>
            <w:numRestart w:val="eachSect"/>
          </w:footnotePr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38AD1D7D" w14:textId="77777777" w:rsidR="00D82574" w:rsidRDefault="00D82574" w:rsidP="00D82574">
      <w:pPr>
        <w:pStyle w:val="OZNRODZAKTUtznustawalubrozporzdzenieiorganwydajcy"/>
      </w:pPr>
      <w:r>
        <w:lastRenderedPageBreak/>
        <w:t>UZASADNIENIE</w:t>
      </w:r>
    </w:p>
    <w:p w14:paraId="64511974" w14:textId="77777777" w:rsidR="00D82574" w:rsidRPr="00A86737" w:rsidRDefault="00D82574" w:rsidP="00D82574">
      <w:pPr>
        <w:pStyle w:val="DATAAKTUdatauchwalenialubwydaniaaktu"/>
      </w:pPr>
    </w:p>
    <w:p w14:paraId="164A5734" w14:textId="77777777" w:rsidR="00D82574" w:rsidRPr="00511FFC" w:rsidRDefault="00D82574" w:rsidP="00D82574">
      <w:pPr>
        <w:pStyle w:val="ARTartustawynprozporzdzenia"/>
        <w:rPr>
          <w:b/>
        </w:rPr>
      </w:pPr>
      <w:r w:rsidRPr="00511FFC">
        <w:rPr>
          <w:b/>
        </w:rPr>
        <w:t>1. Cel projektowanej ustawy</w:t>
      </w:r>
    </w:p>
    <w:p w14:paraId="3D00141F" w14:textId="77777777" w:rsidR="00D82574" w:rsidRDefault="00D82574" w:rsidP="00D82574">
      <w:pPr>
        <w:pStyle w:val="NIEARTTEKSTtekstnieartykuowanynppodstprawnarozplubpreambua"/>
      </w:pPr>
      <w:r w:rsidRPr="00511FFC">
        <w:t xml:space="preserve">Celem projektu jest wprowadzenie możliwości stwierdzenia w odniesieniu do decyzji o ustaleniu, które nieruchomości stanowią wspólnotę gruntową, ustaleniu wykazu uprawnionych do udziału we wspólnocie gruntowej oraz wykazu obszarów gospodarstw rolnych przez nich posiadanych i wielkości przysługujących im udziałów we wspólnocie, że decyzja taka została wydana z naruszeniem prawa. </w:t>
      </w:r>
      <w:r>
        <w:t>D</w:t>
      </w:r>
      <w:r w:rsidRPr="00511FFC">
        <w:t xml:space="preserve">la strony </w:t>
      </w:r>
      <w:r>
        <w:t xml:space="preserve">poszkodowanej taką </w:t>
      </w:r>
      <w:r w:rsidRPr="00511FFC">
        <w:t>decyzj</w:t>
      </w:r>
      <w:r>
        <w:t>ą</w:t>
      </w:r>
      <w:r w:rsidRPr="00511FFC">
        <w:t xml:space="preserve"> </w:t>
      </w:r>
      <w:r>
        <w:t xml:space="preserve">będzie to </w:t>
      </w:r>
      <w:r w:rsidRPr="00511FFC">
        <w:t xml:space="preserve">podstawą do żądania odszkodowania przed sądem </w:t>
      </w:r>
      <w:r>
        <w:t>powszechnym</w:t>
      </w:r>
      <w:r w:rsidRPr="00511FFC">
        <w:t>.</w:t>
      </w:r>
    </w:p>
    <w:p w14:paraId="4710C5DF" w14:textId="77777777" w:rsidR="00D82574" w:rsidRPr="00C50324" w:rsidRDefault="00D82574" w:rsidP="00D82574">
      <w:pPr>
        <w:pStyle w:val="ARTartustawynprozporzdzenia"/>
      </w:pPr>
    </w:p>
    <w:p w14:paraId="6983E954" w14:textId="77777777" w:rsidR="00D82574" w:rsidRPr="00511FFC" w:rsidRDefault="00D82574" w:rsidP="00D82574">
      <w:pPr>
        <w:pStyle w:val="ARTartustawynprozporzdzenia"/>
        <w:rPr>
          <w:b/>
        </w:rPr>
      </w:pPr>
      <w:r w:rsidRPr="00511FFC">
        <w:rPr>
          <w:b/>
        </w:rPr>
        <w:t>2. Stan prawny</w:t>
      </w:r>
    </w:p>
    <w:p w14:paraId="049B3C3F" w14:textId="77777777" w:rsidR="00D82574" w:rsidRPr="00511FFC" w:rsidRDefault="00D82574" w:rsidP="00D82574">
      <w:pPr>
        <w:pStyle w:val="NIEARTTEKSTtekstnieartykuowanynppodstprawnarozplubpreambua"/>
      </w:pPr>
      <w:r w:rsidRPr="00511FFC">
        <w:t>Zgodnie z art. 8o ustawy z dnia 29 czerwca 1963 r. o zagospodarowaniu wspólnot gruntowych</w:t>
      </w:r>
      <w:r>
        <w:t xml:space="preserve"> </w:t>
      </w:r>
      <w:r w:rsidRPr="00DA22B9">
        <w:t>(Dz. U. z 2022 r. poz. 140)</w:t>
      </w:r>
      <w:r w:rsidRPr="00511FFC">
        <w:t>, do postępowań dotyczących wzruszenia decyzji ostatecznych wydanych na</w:t>
      </w:r>
      <w:r>
        <w:t xml:space="preserve"> </w:t>
      </w:r>
      <w:r w:rsidRPr="00511FFC">
        <w:t>podstawie tej ustawy nie stosuje się art. 145–145b oraz art. 154–156 ustawy z dnia 14</w:t>
      </w:r>
      <w:r>
        <w:t xml:space="preserve"> </w:t>
      </w:r>
      <w:r w:rsidRPr="00511FFC">
        <w:t>czerwca 1960 r. – Kodeks postępowania administracyjnego</w:t>
      </w:r>
      <w:r>
        <w:t xml:space="preserve"> </w:t>
      </w:r>
      <w:r w:rsidRPr="00B0606B">
        <w:t>(Dz. U. z</w:t>
      </w:r>
      <w:r>
        <w:t> </w:t>
      </w:r>
      <w:r w:rsidRPr="00B0606B">
        <w:t>2024 r. poz. 572)</w:t>
      </w:r>
      <w:r w:rsidRPr="00511FFC">
        <w:t xml:space="preserve">, </w:t>
      </w:r>
      <w:r>
        <w:t xml:space="preserve">zwanej </w:t>
      </w:r>
      <w:r w:rsidRPr="00CB03B4">
        <w:t xml:space="preserve">dalej „Kpa”, </w:t>
      </w:r>
      <w:r w:rsidRPr="00511FFC">
        <w:t>jeżeli upłynęło 5 lat od dnia, w</w:t>
      </w:r>
      <w:r>
        <w:t xml:space="preserve"> </w:t>
      </w:r>
      <w:r w:rsidRPr="00511FFC">
        <w:t>którym stała się ostateczna, decyzja o ustaleniu, które nieruchomości stanowią wspólnotę gruntową, ustaleniu wykazu uprawnionych do udziału we wspólnocie gruntowej oraz wykazu obszarów gospodarstw rolnych przez nich posiadanych i wielkości przysługujących im udziałów we</w:t>
      </w:r>
      <w:r>
        <w:t> </w:t>
      </w:r>
      <w:r w:rsidRPr="00511FFC">
        <w:t xml:space="preserve">wspólnocie. Wskazany przepis służy utrwaleniu stanów rzeczy ukształtowanych przez decyzje administracyjne tworzące wspólnoty gruntowe poprzez ustanowienie niewzruszalności tych decyzji. </w:t>
      </w:r>
    </w:p>
    <w:p w14:paraId="5262F29C" w14:textId="53E3E5E8" w:rsidR="00D82574" w:rsidRPr="00511FFC" w:rsidRDefault="00D82574" w:rsidP="00D82574">
      <w:pPr>
        <w:pStyle w:val="NIEARTTEKSTtekstnieartykuowanynppodstprawnarozplubpreambua"/>
      </w:pPr>
      <w:r w:rsidRPr="00511FFC">
        <w:t xml:space="preserve">Eliminacja z obrotu prawnego decyzji lub części decyzji dotyczących ustalenia nieruchomości wchodzących w skład wspólnoty gruntowej uzasadniona np. fragmentaryczną trafnością wniosków wniesionych przez nielicznych uczestników postępowania, a często już ich następców prawnych może powodować stan niepewności prawnej dla wielu podmiotów. Rozwiązanie prawne przewidziane w przywołanym art. 8o podyktowane było wolą </w:t>
      </w:r>
      <w:r>
        <w:br/>
      </w:r>
      <w:r w:rsidRPr="00511FFC">
        <w:t>utrzymania ustalonych przed wieloma laty stosunków własnościowych dotyczących nieruchomości, z</w:t>
      </w:r>
      <w:r>
        <w:t xml:space="preserve"> </w:t>
      </w:r>
      <w:r w:rsidRPr="00511FFC">
        <w:t>uwagi na doniosłe znaczenie ochrony ich trwałości. Przejawia się to</w:t>
      </w:r>
      <w:r>
        <w:t> </w:t>
      </w:r>
      <w:r w:rsidRPr="00511FFC">
        <w:t>w</w:t>
      </w:r>
      <w:r>
        <w:t> </w:t>
      </w:r>
      <w:r w:rsidRPr="00511FFC">
        <w:t xml:space="preserve">wyłączeniu możliwości wzruszenia decyzji ostatecznych, dotyczących zazwyczaj wzajemnie powiązanych praw do nieruchomości wielu osób. Tego typu zabiegi normatywne </w:t>
      </w:r>
      <w:r w:rsidRPr="00511FFC">
        <w:lastRenderedPageBreak/>
        <w:t>znalazły się także w</w:t>
      </w:r>
      <w:r>
        <w:t xml:space="preserve"> </w:t>
      </w:r>
      <w:r w:rsidRPr="00511FFC">
        <w:t xml:space="preserve">ustawie z dnia 19 października 1991 r. o gospodarowaniu nieruchomościami rolnymi Skarbu Państwa </w:t>
      </w:r>
      <w:r w:rsidRPr="00DA22B9">
        <w:t xml:space="preserve">(Dz. U. z 2024 r. poz. 589, 1089 i 1230) </w:t>
      </w:r>
      <w:r w:rsidRPr="00511FFC">
        <w:t>oraz w</w:t>
      </w:r>
      <w:r>
        <w:t> </w:t>
      </w:r>
      <w:r w:rsidRPr="00511FFC">
        <w:t>ustawie z dnia 26 marca 1982 r. o scalaniu i</w:t>
      </w:r>
      <w:r>
        <w:t xml:space="preserve"> </w:t>
      </w:r>
      <w:r w:rsidRPr="00511FFC">
        <w:t>wymianie gruntów</w:t>
      </w:r>
      <w:r>
        <w:t xml:space="preserve"> </w:t>
      </w:r>
      <w:r w:rsidRPr="00DA22B9">
        <w:t>(Dz. U. z 2023 r. poz.</w:t>
      </w:r>
      <w:r>
        <w:t> </w:t>
      </w:r>
      <w:r w:rsidRPr="00DA22B9">
        <w:t>1197)</w:t>
      </w:r>
      <w:r w:rsidRPr="00511FFC">
        <w:t>.</w:t>
      </w:r>
    </w:p>
    <w:p w14:paraId="39022D94" w14:textId="45D77A39" w:rsidR="00D82574" w:rsidRPr="00511FFC" w:rsidRDefault="00D82574" w:rsidP="00D82574">
      <w:pPr>
        <w:pStyle w:val="NIEARTTEKSTtekstnieartykuowanynppodstprawnarozplubpreambua"/>
      </w:pPr>
      <w:r w:rsidRPr="00511FFC">
        <w:t xml:space="preserve">W art. 8o ustawy z dnia 29 czerwca 1963 r. o zagospodarowaniu wspólnot gruntowych oraz w art. 33 ust. 2 ustawy z dnia 26 marca 1982 r. scalaniu i wymianie gruntów </w:t>
      </w:r>
      <w:r>
        <w:br/>
      </w:r>
      <w:r w:rsidRPr="00511FFC">
        <w:t>(w</w:t>
      </w:r>
      <w:r>
        <w:t> </w:t>
      </w:r>
      <w:r w:rsidRPr="00511FFC">
        <w:t>brzmieniu sprzed zmiany tego przepisu dokonanej w art. 1 pkt 10 lit. b ustawy z dnia 2</w:t>
      </w:r>
      <w:r>
        <w:t> </w:t>
      </w:r>
      <w:r w:rsidRPr="00511FFC">
        <w:t>grudnia 2021 r. o</w:t>
      </w:r>
      <w:r>
        <w:t xml:space="preserve"> </w:t>
      </w:r>
      <w:r w:rsidRPr="00511FFC">
        <w:t>zmianie ustawy o scalaniu i wymianie gruntów, ustawy o utracie mocy prawnej niektórych ksiąg wieczystych oraz ustawy o drogach publicznych – Dz. U. z 2022</w:t>
      </w:r>
      <w:r>
        <w:t xml:space="preserve"> r.</w:t>
      </w:r>
      <w:r w:rsidRPr="00511FFC">
        <w:t xml:space="preserve"> poz. 32), przewidziano tożsame regulacje wyłączające wzruszalność decyzji ostatecznych w</w:t>
      </w:r>
      <w:r>
        <w:t> </w:t>
      </w:r>
      <w:r w:rsidRPr="00511FFC">
        <w:t>nadzwyczajnych trybach postępowania administracyjnego, jeżeli upłynęło 5 lat od dnia, w</w:t>
      </w:r>
      <w:r>
        <w:t> </w:t>
      </w:r>
      <w:r w:rsidRPr="00511FFC">
        <w:t>którym decyzje stały się ostateczne. W konsekwencji owego wyłączenia, w przypadku decyzji wydawanych na podstawie ustawy o zagospodarowaniu wspólnot gruntowych nie stosuje się przepisów K</w:t>
      </w:r>
      <w:r>
        <w:t xml:space="preserve">pa </w:t>
      </w:r>
      <w:r w:rsidRPr="00511FFC">
        <w:t>dotyczących przesłanek wznowienia postępowania (art. 145–145b), uchylenia decyzji (art. 154–155a), oraz stwierdzenia nieważności decyzji (art. 156). Ten ostatni przepis Kpa, w § 1, zawiera przesłanki stwierdzenia nieważności decyzji. I tak, organ administracji publicznej stwierdza nieważność decyzji, która (przesłanki pozytywne stwierdzenia nieważności, tj. kiedy się stwierdza nieważność):</w:t>
      </w:r>
    </w:p>
    <w:p w14:paraId="239B579E" w14:textId="77777777" w:rsidR="00D82574" w:rsidRPr="00511FFC" w:rsidRDefault="00D82574" w:rsidP="00D82574">
      <w:pPr>
        <w:pStyle w:val="PKTpunkt"/>
      </w:pPr>
      <w:r w:rsidRPr="00511FFC">
        <w:t>1)</w:t>
      </w:r>
      <w:r w:rsidRPr="00511FFC">
        <w:tab/>
        <w:t>wydana została z naruszeniem przepisów o właściwości;</w:t>
      </w:r>
    </w:p>
    <w:p w14:paraId="197CFB81" w14:textId="77777777" w:rsidR="00D82574" w:rsidRPr="00511FFC" w:rsidRDefault="00D82574" w:rsidP="00D82574">
      <w:pPr>
        <w:pStyle w:val="PKTpunkt"/>
      </w:pPr>
      <w:r w:rsidRPr="00511FFC">
        <w:t>2)</w:t>
      </w:r>
      <w:r w:rsidRPr="00511FFC">
        <w:tab/>
        <w:t>wydana została bez podstawy prawnej lub z rażącym naruszeniem prawa;</w:t>
      </w:r>
    </w:p>
    <w:p w14:paraId="6AC932B1" w14:textId="77777777" w:rsidR="00D82574" w:rsidRPr="00511FFC" w:rsidRDefault="00D82574" w:rsidP="00D82574">
      <w:pPr>
        <w:pStyle w:val="PKTpunkt"/>
      </w:pPr>
      <w:r w:rsidRPr="00511FFC">
        <w:t>3)</w:t>
      </w:r>
      <w:r w:rsidRPr="00511FFC">
        <w:tab/>
        <w:t>dotyczy sprawy już poprzednio rozstrzygniętej inną decyzją ostateczną albo sprawy, którą załatwiono milcząco;</w:t>
      </w:r>
    </w:p>
    <w:p w14:paraId="43AA9E4C" w14:textId="77777777" w:rsidR="00D82574" w:rsidRPr="00511FFC" w:rsidRDefault="00D82574" w:rsidP="00D82574">
      <w:pPr>
        <w:pStyle w:val="PKTpunkt"/>
      </w:pPr>
      <w:r w:rsidRPr="00511FFC">
        <w:t>4)</w:t>
      </w:r>
      <w:r w:rsidRPr="00511FFC">
        <w:tab/>
        <w:t>została skierowana do osoby niebędącej stroną w sprawie;</w:t>
      </w:r>
    </w:p>
    <w:p w14:paraId="038795F7" w14:textId="77777777" w:rsidR="00D82574" w:rsidRPr="00511FFC" w:rsidRDefault="00D82574" w:rsidP="00D82574">
      <w:pPr>
        <w:pStyle w:val="PKTpunkt"/>
      </w:pPr>
      <w:r w:rsidRPr="00511FFC">
        <w:t>5)</w:t>
      </w:r>
      <w:r w:rsidRPr="00511FFC">
        <w:tab/>
        <w:t>była niewykonalna w dniu jej wydania i jej niewykonalność ma charakter trwały;</w:t>
      </w:r>
    </w:p>
    <w:p w14:paraId="0390DBBB" w14:textId="77777777" w:rsidR="00D82574" w:rsidRPr="00511FFC" w:rsidRDefault="00D82574" w:rsidP="00D82574">
      <w:pPr>
        <w:pStyle w:val="PKTpunkt"/>
      </w:pPr>
      <w:r w:rsidRPr="00511FFC">
        <w:t>6)</w:t>
      </w:r>
      <w:r w:rsidRPr="00511FFC">
        <w:tab/>
        <w:t>w razie jej wykonania wywołałaby czyn zagrożony karą;</w:t>
      </w:r>
    </w:p>
    <w:p w14:paraId="674A54D8" w14:textId="77777777" w:rsidR="00D82574" w:rsidRPr="00511FFC" w:rsidRDefault="00D82574" w:rsidP="00D82574">
      <w:pPr>
        <w:pStyle w:val="PKTpunkt"/>
      </w:pPr>
      <w:r w:rsidRPr="00511FFC">
        <w:t>7)</w:t>
      </w:r>
      <w:r w:rsidRPr="00511FFC">
        <w:tab/>
        <w:t>zawiera wadę powodującą jej nieważność z mocy prawa.</w:t>
      </w:r>
    </w:p>
    <w:p w14:paraId="29A5E05A" w14:textId="502E8FC7" w:rsidR="00D82574" w:rsidRPr="00511FFC" w:rsidRDefault="00D82574" w:rsidP="00D82574">
      <w:pPr>
        <w:pStyle w:val="NIEARTTEKSTtekstnieartykuowanynppodstprawnarozplubpreambua"/>
      </w:pPr>
      <w:r w:rsidRPr="00511FFC">
        <w:t>Przepis § 2 w art. 156 Kpa stanowi, że nie stwierdza się nieważności decyzji z przyczyn wymienionych w § 1, jeżeli od dnia jej doręczenia lub ogłoszenia upłynęło dziesięć lat, a</w:t>
      </w:r>
      <w:r>
        <w:t> </w:t>
      </w:r>
      <w:r w:rsidRPr="00511FFC">
        <w:t>także gdy decyzja wywołała nieodwracalne skutki prawne (przesłanka negatywna, tj. kiedy, mimo okoliczności, o których mowa w § 1, nie można stwierdzić nieważności). W tych ostatnich przypadkach jednak (tytułem swego rodzaju kompensacji), tj. jeżeli nie można stwierdzić nieważności decyzji na skutek okoliczności, o</w:t>
      </w:r>
      <w:r>
        <w:t xml:space="preserve"> </w:t>
      </w:r>
      <w:r w:rsidRPr="00511FFC">
        <w:t xml:space="preserve">których mowa w art. 156 § 2, organ </w:t>
      </w:r>
      <w:r>
        <w:br/>
      </w:r>
      <w:r w:rsidRPr="00511FFC">
        <w:t xml:space="preserve">administracji publicznej ograniczy się do stwierdzenia wydania zaskarżonej decyzji </w:t>
      </w:r>
      <w:r w:rsidRPr="00511FFC">
        <w:lastRenderedPageBreak/>
        <w:t>z</w:t>
      </w:r>
      <w:r>
        <w:t> </w:t>
      </w:r>
      <w:r w:rsidRPr="00511FFC">
        <w:t>naruszeniem prawa oraz wskazania okoliczności, z powodu których nie stwierdził nieważności decyzji (tak stanowi art. 158 § 2 Kpa).</w:t>
      </w:r>
    </w:p>
    <w:p w14:paraId="5B9C962A" w14:textId="77777777" w:rsidR="00D82574" w:rsidRPr="00511FFC" w:rsidRDefault="00D82574" w:rsidP="00D82574">
      <w:pPr>
        <w:pStyle w:val="NIEARTTEKSTtekstnieartykuowanynppodstprawnarozplubpreambua"/>
      </w:pPr>
      <w:r w:rsidRPr="00511FFC">
        <w:t>Inaczej mówiąc, stwierdzenie nieważności decyzji może mieć miejsce jeżeli zachodzi jedna z wad (przesłanek pozytywnych), o których mowa w art. 156 § 1 Kpa, a jednocześnie w sprawie nie występuje przesłanka negatywna, o której mowa w art. 156 § 2 Kpa. Natomiast stwierdzenia naruszenia prawa (art. 158 § 2) dokonuje się wówczas, gdy jednocześnie spełnione zostają przesłanki pozytywna i negatywna. Powoduje to, że zaskarżona decyzja pozostaje w obrocie prawnym, a stronie służy jedynie prawo do odszkodowania.</w:t>
      </w:r>
    </w:p>
    <w:p w14:paraId="2139AF50" w14:textId="77777777" w:rsidR="00D82574" w:rsidRPr="00511FFC" w:rsidRDefault="00D82574" w:rsidP="00D82574">
      <w:pPr>
        <w:pStyle w:val="NIEARTTEKSTtekstnieartykuowanynppodstprawnarozplubpreambua"/>
      </w:pPr>
      <w:r w:rsidRPr="00511FFC">
        <w:t>Zatem, skoro do postępowań dotyczących wzruszenia decyzji ostatecznych, nie stosuje się po upływie 5 lat od dnia, w którym decyzja wydana na podstawie ustawy o zagospodarowaniu wspólnot gruntowych stała się ostateczna – m.in. art. 156 Kpa (nie stwierdza się nieważności decyzji), to w konsekwencji nie znajdzie zastosowania też art. 158 § 2 Kpa, ponieważ ten ostatni, stanowi, że stwierdzenia wydania zaskarżonej decyzji z naruszeniem prawa można dokonać jedynie w przypadku, gdy nie można stwierdzić nieważności decyzji na skutek okoliczności, o</w:t>
      </w:r>
      <w:r>
        <w:t xml:space="preserve"> </w:t>
      </w:r>
      <w:r w:rsidRPr="00511FFC">
        <w:t xml:space="preserve">których mowa w art. 156 § 2 Kpa. </w:t>
      </w:r>
    </w:p>
    <w:p w14:paraId="3D0752AD" w14:textId="416D9C6D" w:rsidR="00D82574" w:rsidRPr="00511FFC" w:rsidRDefault="00D82574" w:rsidP="00D82574">
      <w:pPr>
        <w:pStyle w:val="NIEARTTEKSTtekstnieartykuowanynppodstprawnarozplubpreambua"/>
      </w:pPr>
      <w:r w:rsidRPr="00511FFC">
        <w:t xml:space="preserve">Przepisu art. 156 § 2 Kpa jednak (w związku z wyłączeniem w art. 8o) do postępowań dotyczących wzruszenia decyzji ostatecznych wydanych na podstawie ustawy o zagospodarowaniu wspólnot gruntowych nie stosuje się. Kłopotliwość tych rozwiązań </w:t>
      </w:r>
      <w:r>
        <w:br/>
      </w:r>
      <w:r w:rsidRPr="00511FFC">
        <w:t xml:space="preserve">polega na tym, że w przypadku, gdy strona zechciałaby zakwestionować decyzję ostateczną, </w:t>
      </w:r>
      <w:r>
        <w:br/>
      </w:r>
      <w:r w:rsidRPr="00511FFC">
        <w:t>to po upływie 5 lat, ani nie będzie mogła skutecznie dochodzić stwierdzenia jej nieważności (co w pewnych przypadkach – z</w:t>
      </w:r>
      <w:r>
        <w:t xml:space="preserve"> </w:t>
      </w:r>
      <w:r w:rsidRPr="00511FFC">
        <w:t>racji na pewność obrotu – zasługuje na aprobatę), ani – w</w:t>
      </w:r>
      <w:r>
        <w:t> </w:t>
      </w:r>
      <w:r w:rsidRPr="00511FFC">
        <w:t xml:space="preserve">przypadku, gdyby </w:t>
      </w:r>
      <w:r>
        <w:t xml:space="preserve">z uwagi </w:t>
      </w:r>
      <w:r w:rsidRPr="00511FFC">
        <w:t>na pewność obrotu niezasadne byłoby stwierdzenie jej nieważności – nie będzie mogła żądać nawet stwierdzenia wydania decyzji z naruszeniem prawa (co nie usunęłoby już skutków np. decyzji o ustaleniu, które nieruchomości stanowią wspólnotę gruntową, ale mogłoby być przynajmniej podstawą do żądania odszkodowania za wydanie decyzji z naruszeniem prawa).</w:t>
      </w:r>
    </w:p>
    <w:p w14:paraId="5CFB7CAE" w14:textId="727CB9C2" w:rsidR="00D82574" w:rsidRPr="00511FFC" w:rsidRDefault="00D82574" w:rsidP="00D82574">
      <w:pPr>
        <w:pStyle w:val="NIEARTTEKSTtekstnieartykuowanynppodstprawnarozplubpreambua"/>
      </w:pPr>
      <w:r w:rsidRPr="00511FFC">
        <w:t>Art. 8o ustawy o zagospodarowaniu wspólnot gruntowych oraz art. 33 ust. 2 ustawy o scalaniu i wymianie gruntów (w brzmieniu sprzed zmiany dokonanej ustawą z dnia 2</w:t>
      </w:r>
      <w:r>
        <w:t> </w:t>
      </w:r>
      <w:r w:rsidRPr="00511FFC">
        <w:t xml:space="preserve">grudnia 2021 r.) wyklucza możliwość wszczęcia postępowania w sprawie stwierdzenia nieważności decyzji ostatecznej za pomocą nadzwyczajnych środków zaskarżania oraz </w:t>
      </w:r>
      <w:r w:rsidR="00524B7E">
        <w:br/>
      </w:r>
      <w:r w:rsidRPr="00511FFC">
        <w:t>zastosowania art. 158 § 2 Kpa, tym samym uniemożliwia stwierdzenie wydania ostatecznej decyzji z</w:t>
      </w:r>
      <w:r>
        <w:t xml:space="preserve"> </w:t>
      </w:r>
      <w:r w:rsidRPr="00511FFC">
        <w:t xml:space="preserve">naruszeniem prawa. </w:t>
      </w:r>
    </w:p>
    <w:p w14:paraId="36EB0424" w14:textId="77777777" w:rsidR="00D82574" w:rsidRPr="00511FFC" w:rsidRDefault="00D82574" w:rsidP="00D82574">
      <w:pPr>
        <w:pStyle w:val="NIEARTTEKSTtekstnieartykuowanynppodstprawnarozplubpreambua"/>
      </w:pPr>
      <w:r w:rsidRPr="00511FFC">
        <w:lastRenderedPageBreak/>
        <w:t xml:space="preserve">Podkreślenia wymaga, że przepis art. 33 ust. 2 ustawy o scalaniu i wymianie gruntów (w brzmieniu sprzed zmiany dokonanej ustawą z dnia 2 grudnia 2021 r.) poddany został ocenie konstytucyjności. Trybunał Konstytucyjny wyrokiem z dnia 18 kwietnia 2019 r. </w:t>
      </w:r>
      <w:r>
        <w:t>(</w:t>
      </w:r>
      <w:r w:rsidRPr="00511FFC">
        <w:t>sygn.</w:t>
      </w:r>
      <w:r>
        <w:t> </w:t>
      </w:r>
      <w:r w:rsidRPr="00511FFC">
        <w:t>akt SK 21/17</w:t>
      </w:r>
      <w:r>
        <w:t>)</w:t>
      </w:r>
      <w:r w:rsidRPr="00511FFC">
        <w:t xml:space="preserve"> stwierdził, że przepis ten w zakresie, w jakim uniemożliwia stwierdzenie wydania ostatecznej decyzji o zatwierdzeniu projektu scalania z naruszeniem prawa, jest niezgodny z art. 45 ust. 1 i art. 77 ust. 2 Konstytucji Rzeczypospolitej Polskiej. W</w:t>
      </w:r>
      <w:r>
        <w:t> </w:t>
      </w:r>
      <w:r w:rsidRPr="00511FFC">
        <w:t>motywach stanowiska Trybunał wyjaśnił, że instytucja stwierdzenia wydania zaskarżonej decyzji z</w:t>
      </w:r>
      <w:r>
        <w:t xml:space="preserve"> </w:t>
      </w:r>
      <w:r w:rsidRPr="00511FFC">
        <w:t>naruszeniem prawa pozwala zrealizować zarówno zasadę praworządności, jak i</w:t>
      </w:r>
      <w:r>
        <w:t> </w:t>
      </w:r>
      <w:r w:rsidRPr="00511FFC">
        <w:t>zasadę zaufania obywatela do państwa i wywodzone z niej zasady bezpieczeństwa prawnego, pewności prawa i stabilności stosunków prawnych z jak najmniejszym uszczerbkiem dla nich. Jednocześnie stwierdzenie wydania zaskarżonej decyzji z</w:t>
      </w:r>
      <w:r>
        <w:t> </w:t>
      </w:r>
      <w:r w:rsidRPr="00511FFC">
        <w:t xml:space="preserve">naruszeniem prawa jest niezbędne do dochodzenia odpowiedzialności organów władzy publicznej za szkody wyrządzone ostateczną decyzją administracyjną. Trybunał zaakcentował, iż stwierdzenie wydania decyzji z naruszeniem prawa nie usuwa z obrotu prawnego wadliwej decyzji, ale daje </w:t>
      </w:r>
      <w:r w:rsidRPr="00C50324">
        <w:t>podstawę</w:t>
      </w:r>
      <w:r w:rsidRPr="00511FFC">
        <w:t xml:space="preserve"> </w:t>
      </w:r>
      <w:bookmarkStart w:id="1" w:name="_Hlk185408594"/>
      <w:r w:rsidRPr="00511FFC">
        <w:t>do</w:t>
      </w:r>
      <w:r>
        <w:t xml:space="preserve"> </w:t>
      </w:r>
      <w:r w:rsidRPr="00511FFC">
        <w:t>wystąpienia z</w:t>
      </w:r>
      <w:r>
        <w:t xml:space="preserve"> </w:t>
      </w:r>
      <w:r w:rsidRPr="00511FFC">
        <w:t xml:space="preserve">roszczeniem odszkodowawczym na drodze sądowej </w:t>
      </w:r>
      <w:bookmarkEnd w:id="1"/>
      <w:r w:rsidRPr="00511FFC">
        <w:t>– obecnie na podstawie art. 417</w:t>
      </w:r>
      <w:r w:rsidRPr="00511FFC">
        <w:rPr>
          <w:vertAlign w:val="superscript"/>
        </w:rPr>
        <w:t>1</w:t>
      </w:r>
      <w:r w:rsidRPr="00511FFC">
        <w:t xml:space="preserve"> § 2 ustawy z dnia 23</w:t>
      </w:r>
      <w:r>
        <w:t> </w:t>
      </w:r>
      <w:r w:rsidRPr="00511FFC">
        <w:t>kwietnia 1964 roku – Kodeks cywilny (Dz. U. z 2024 r. poz.</w:t>
      </w:r>
      <w:r>
        <w:t xml:space="preserve"> </w:t>
      </w:r>
      <w:r w:rsidRPr="00511FFC">
        <w:t>1061 i</w:t>
      </w:r>
      <w:r>
        <w:t xml:space="preserve"> </w:t>
      </w:r>
      <w:r w:rsidRPr="00511FFC">
        <w:t>1237), a</w:t>
      </w:r>
      <w:r>
        <w:t xml:space="preserve"> </w:t>
      </w:r>
      <w:r w:rsidRPr="00511FFC">
        <w:t>wcześniej na podstawie art. 160 Kpa. Kontrolując zgodność art. 33 ust. 2 ustawy o</w:t>
      </w:r>
      <w:r>
        <w:t xml:space="preserve"> </w:t>
      </w:r>
      <w:r w:rsidRPr="00511FFC">
        <w:t>scalaniu i</w:t>
      </w:r>
      <w:r>
        <w:t xml:space="preserve"> </w:t>
      </w:r>
      <w:r w:rsidRPr="00511FFC">
        <w:t>wymianie gruntów z art. 45 ust. 1 i art. 77 ust. 2 Konstytucji, Trybunał stwierdził, że</w:t>
      </w:r>
      <w:r>
        <w:t xml:space="preserve"> </w:t>
      </w:r>
      <w:r w:rsidRPr="00511FFC">
        <w:t>kwestionowana norma prawna zamyka drogę sądowego dochodzenia naruszonych praw i</w:t>
      </w:r>
      <w:r>
        <w:t xml:space="preserve"> </w:t>
      </w:r>
      <w:r w:rsidRPr="00511FFC">
        <w:t>wolności, a ponadto uniemożliwia rozpoznanie sprawy przez sąd właściwy do orzekania o</w:t>
      </w:r>
      <w:r>
        <w:t xml:space="preserve"> </w:t>
      </w:r>
      <w:r w:rsidRPr="00511FFC">
        <w:t>odpowiedzialności odszkodowawczej, ponieważ nie pozwala stwierdzić, że ostateczna decyzja o zatwierdzeniu projektu scalania wydana została z</w:t>
      </w:r>
      <w:r>
        <w:t xml:space="preserve"> </w:t>
      </w:r>
      <w:r w:rsidRPr="00511FFC">
        <w:t>naruszeniem prawa. Ze względu na normę prawną wyprowadzoną z art. 33 ust. 2 ustawy o</w:t>
      </w:r>
      <w:r>
        <w:t xml:space="preserve"> </w:t>
      </w:r>
      <w:r w:rsidRPr="00511FFC">
        <w:t>scalaniu i wymianie gruntów prawo do sądu stało się iluzoryczne. Kontrolowana norma prawna uniemożliwiła stwierdzenie, że</w:t>
      </w:r>
      <w:r>
        <w:t xml:space="preserve"> </w:t>
      </w:r>
      <w:r w:rsidRPr="00511FFC">
        <w:t>ostateczna decyzja o zatwierdzeniu projektu scalania wydana została z naruszeniem prawa, i wobec tego uzyskanie prejudykatu niezbędnego do</w:t>
      </w:r>
      <w:r>
        <w:t xml:space="preserve"> </w:t>
      </w:r>
      <w:r w:rsidRPr="00511FFC">
        <w:t xml:space="preserve">uzyskania odszkodowania za szkodę wyrządzoną ostateczną decyzją administracyjną. Bez tego prejudykatu wykluczona jest skuteczna ochrona praw majątkowych na drodze sądowej. Sąd orzekający o roszczeniu odszkodowawczym jest bowiem związany rozstrzygnięciem stwierdzającym wydanie ostatecznej decyzji z naruszeniem prawa. Przepis art. 33 ust. 2 ustawy o scalaniu i wymianie gruntów unicestwia prawo do sądu, rozumiane jako: 1) prawo do uruchomienia postępowania przed niezależnym, bezstronnym i niezawisłym sądem, 2) prawo do odpowiednio ukształtowanej procedury sądowej, zgodnie z zasadami sprawiedliwości i jawności i 3) prawo do uzyskania wiążącego </w:t>
      </w:r>
      <w:r w:rsidRPr="00511FFC">
        <w:lastRenderedPageBreak/>
        <w:t>rozstrzygnięcia sprawy. Jego konsekwencją jest unicestwienie prawa do sądu zarówno w</w:t>
      </w:r>
      <w:r>
        <w:t> </w:t>
      </w:r>
      <w:r w:rsidRPr="00511FFC">
        <w:t>ujęciu formalnym, czyli dostępności drogi sądowej, jak i ujęciu materialnym, czyli możliwości prawnie skutecznej ochrony praw na drodze sądowej.</w:t>
      </w:r>
    </w:p>
    <w:p w14:paraId="710AA640" w14:textId="77777777" w:rsidR="00D82574" w:rsidRPr="00511FFC" w:rsidRDefault="00D82574" w:rsidP="00D82574">
      <w:pPr>
        <w:pStyle w:val="NIEARTTEKSTtekstnieartykuowanynppodstprawnarozplubpreambua"/>
      </w:pPr>
      <w:r w:rsidRPr="00511FFC">
        <w:t>Ustawą z dnia 2 grudnia 2021 r. o zmianie ustawy o scalaniu i wymianie gruntów, ustawy o utracie mocy prawnej niektórych ksiąg wieczystych oraz ustawy o drogach publicznych (Dz.U. z 2022</w:t>
      </w:r>
      <w:r>
        <w:t xml:space="preserve"> r.</w:t>
      </w:r>
      <w:r w:rsidRPr="00511FFC">
        <w:t xml:space="preserve"> poz. 32), wprowadzono zmiany w ustawie z dnia 26 marca 1982 r. o scalaniu i</w:t>
      </w:r>
      <w:r>
        <w:t xml:space="preserve"> </w:t>
      </w:r>
      <w:r w:rsidRPr="00511FFC">
        <w:t>wymianie gruntów, stosownie do wyroku Trybunału Konstytucyjnego z dnia 18</w:t>
      </w:r>
      <w:r>
        <w:t> </w:t>
      </w:r>
      <w:r w:rsidRPr="00511FFC">
        <w:t>kwietnia 2019 r. (sygn. akt SK 21/17).</w:t>
      </w:r>
    </w:p>
    <w:p w14:paraId="4098E8E6" w14:textId="77777777" w:rsidR="00D82574" w:rsidRDefault="00D82574" w:rsidP="00D82574">
      <w:pPr>
        <w:pStyle w:val="NIEARTTEKSTtekstnieartykuowanynppodstprawnarozplubpreambua"/>
      </w:pPr>
      <w:r w:rsidRPr="00511FFC">
        <w:t>Zarówno art. 8o ustawy o zagospodarowaniu wspólnot gruntowych, jak i art. 33 ust. 2 ustawy o scalaniu i wymianie gruntów (w</w:t>
      </w:r>
      <w:r>
        <w:t xml:space="preserve"> </w:t>
      </w:r>
      <w:r w:rsidRPr="00511FFC">
        <w:t xml:space="preserve">brzmieniu sprzed zmiany dokonanej ustawą z dnia 2 grudnia 2021 r.) uniemożliwiają stwierdzenie wydania ostatecznej decyzji z naruszeniem prawa. Jakkolwiek Trybunał Konstytucyjny nie wypowiadał się w przedmiocie zgodności z Konstytucją art. 8o, nie oznacza to, że przywołany wyrok z dnia 18 kwietnia 2019 r., nie ma znaczenia w ocenie zasadności konieczności zmiany </w:t>
      </w:r>
      <w:r>
        <w:t xml:space="preserve">tej </w:t>
      </w:r>
      <w:r w:rsidRPr="00511FFC">
        <w:t xml:space="preserve">regulacji. Jak podniósł Trybunał Konstytucyjny w uzasadnieniu wyroku z dnia 22 maja 2007 r. </w:t>
      </w:r>
      <w:r>
        <w:t>(</w:t>
      </w:r>
      <w:r w:rsidRPr="00511FFC">
        <w:t>sygn. akt SK 36/06</w:t>
      </w:r>
      <w:r>
        <w:t>)</w:t>
      </w:r>
      <w:r w:rsidRPr="00511FFC">
        <w:t xml:space="preserve"> stwierdzenie niekonstytucyjności określonej normy prawnej nie pozostaje bez znaczenia dla stosowania normy zamieszczonej w przepisie tożsamym. </w:t>
      </w:r>
      <w:r>
        <w:t xml:space="preserve">I choć wyrok Trybunału </w:t>
      </w:r>
      <w:r w:rsidRPr="00993377">
        <w:t>z dnia 18</w:t>
      </w:r>
      <w:r>
        <w:t> </w:t>
      </w:r>
      <w:r w:rsidRPr="00993377">
        <w:t>kwietnia 2019 r.</w:t>
      </w:r>
      <w:r>
        <w:t xml:space="preserve"> </w:t>
      </w:r>
      <w:r w:rsidRPr="00100DD6">
        <w:t>n</w:t>
      </w:r>
      <w:r>
        <w:t>i</w:t>
      </w:r>
      <w:r w:rsidRPr="00100DD6">
        <w:t xml:space="preserve">e deroguje obowiązującego przepisu w art. 8o, to jednak </w:t>
      </w:r>
      <w:r>
        <w:t xml:space="preserve">może mieć </w:t>
      </w:r>
      <w:r w:rsidRPr="00100DD6">
        <w:t>w</w:t>
      </w:r>
      <w:r>
        <w:t xml:space="preserve">pływ na </w:t>
      </w:r>
      <w:r w:rsidRPr="00100DD6">
        <w:t>nowy sposób interpretowania jego treści</w:t>
      </w:r>
      <w:r>
        <w:t>, w szczególności przez sądy administracyjne.</w:t>
      </w:r>
    </w:p>
    <w:p w14:paraId="452B9EF0" w14:textId="77777777" w:rsidR="00D82574" w:rsidRDefault="00D82574" w:rsidP="00D82574">
      <w:pPr>
        <w:pStyle w:val="ARTartustawynprozporzdzenia"/>
        <w:rPr>
          <w:bCs/>
        </w:rPr>
      </w:pPr>
    </w:p>
    <w:p w14:paraId="357D3FCB" w14:textId="77777777" w:rsidR="00D82574" w:rsidRPr="00511FFC" w:rsidRDefault="00D82574" w:rsidP="00D82574">
      <w:pPr>
        <w:pStyle w:val="ARTartustawynprozporzdzenia"/>
        <w:rPr>
          <w:b/>
        </w:rPr>
      </w:pPr>
      <w:r w:rsidRPr="00511FFC">
        <w:rPr>
          <w:b/>
        </w:rPr>
        <w:t>3. Projektowany stan prawny</w:t>
      </w:r>
    </w:p>
    <w:p w14:paraId="21052A16" w14:textId="77777777" w:rsidR="00D82574" w:rsidRPr="00511FFC" w:rsidRDefault="00D82574" w:rsidP="00D82574">
      <w:pPr>
        <w:pStyle w:val="NIEARTTEKSTtekstnieartykuowanynppodstprawnarozplubpreambua"/>
      </w:pPr>
      <w:r w:rsidRPr="00511FFC">
        <w:t xml:space="preserve">Mając na uwadze, że </w:t>
      </w:r>
      <w:r>
        <w:t>przepis</w:t>
      </w:r>
      <w:r w:rsidRPr="00511FFC">
        <w:t xml:space="preserve"> art. 8o ustawy o</w:t>
      </w:r>
      <w:r>
        <w:t xml:space="preserve"> </w:t>
      </w:r>
      <w:r w:rsidRPr="00511FFC">
        <w:t>zagospodarowaniu wspólnot gruntowych</w:t>
      </w:r>
      <w:r>
        <w:t xml:space="preserve"> ma obecnie analogiczne brzmienie co regulacja </w:t>
      </w:r>
      <w:r w:rsidRPr="00511FFC">
        <w:t>art. 33 ust. 2 ustawy o scalaniu i wymianie gruntów w brzmieniu sprzed nowelizacji z</w:t>
      </w:r>
      <w:r>
        <w:t xml:space="preserve"> </w:t>
      </w:r>
      <w:r w:rsidRPr="00511FFC">
        <w:t>dnia 2 grudnia 2021 r.,</w:t>
      </w:r>
      <w:r>
        <w:t xml:space="preserve"> co do której orzekał Trybunał Konstytucyjny w wyroku </w:t>
      </w:r>
      <w:r w:rsidRPr="00F45A0C">
        <w:t>z dnia 18 kwietnia 2019 r. (sygn. akt SK 21/17)</w:t>
      </w:r>
      <w:r>
        <w:t xml:space="preserve">, zasadna wydaje się być ocena, że </w:t>
      </w:r>
      <w:r w:rsidRPr="00511FFC">
        <w:t xml:space="preserve">obydwa </w:t>
      </w:r>
      <w:r>
        <w:t xml:space="preserve">te </w:t>
      </w:r>
      <w:r w:rsidRPr="00511FFC">
        <w:t>rozwiązania normatywne</w:t>
      </w:r>
      <w:r>
        <w:t xml:space="preserve"> </w:t>
      </w:r>
      <w:r w:rsidRPr="00511FFC">
        <w:t>dotyka</w:t>
      </w:r>
      <w:r>
        <w:t xml:space="preserve"> </w:t>
      </w:r>
      <w:r w:rsidRPr="00511FFC">
        <w:t>taka sama wadliwość natury konstytucyjnej</w:t>
      </w:r>
      <w:r>
        <w:t>.</w:t>
      </w:r>
      <w:r w:rsidRPr="00511FFC">
        <w:t xml:space="preserve"> </w:t>
      </w:r>
      <w:r>
        <w:t xml:space="preserve">Zatem za </w:t>
      </w:r>
      <w:r w:rsidRPr="00511FFC">
        <w:t>uzasadnioną należy uznać propozycję zmiany art. 8o ustawy z dnia 29 czerwca 1963 r. o</w:t>
      </w:r>
      <w:r>
        <w:t xml:space="preserve"> </w:t>
      </w:r>
      <w:r w:rsidRPr="00511FFC">
        <w:t>zagospodarowaniu wspólnot gruntowych</w:t>
      </w:r>
      <w:r>
        <w:t xml:space="preserve">, mając na uwadze, że zarówno jedna jak i druga regulacja </w:t>
      </w:r>
      <w:r w:rsidRPr="00F45A0C">
        <w:t>zamyka drogę do sądowego dochodzenia naruszonych praw, uniemożliwiając rozpoznanie sprawy przez sąd właściwy do orzekania o</w:t>
      </w:r>
      <w:r>
        <w:t> </w:t>
      </w:r>
      <w:r w:rsidRPr="00F45A0C">
        <w:t>odpowiedzialności odszkodowawczej</w:t>
      </w:r>
      <w:r>
        <w:t>.</w:t>
      </w:r>
    </w:p>
    <w:p w14:paraId="5E2C5193" w14:textId="77777777" w:rsidR="00D82574" w:rsidRDefault="00D82574" w:rsidP="00D82574">
      <w:pPr>
        <w:pStyle w:val="NIEARTTEKSTtekstnieartykuowanynppodstprawnarozplubpreambua"/>
      </w:pPr>
      <w:r>
        <w:lastRenderedPageBreak/>
        <w:t>Na podstawie obecnych przepisów</w:t>
      </w:r>
      <w:r w:rsidRPr="00CB03B4">
        <w:t xml:space="preserve"> </w:t>
      </w:r>
      <w:r>
        <w:t xml:space="preserve">ustawy </w:t>
      </w:r>
      <w:r w:rsidRPr="00CB03B4">
        <w:t>o zagospodarowaniu wspólnot gruntowych</w:t>
      </w:r>
      <w:r w:rsidRPr="00511FFC">
        <w:t>, po upływie 5 lat od dnia, w którym decyzja: o</w:t>
      </w:r>
      <w:r>
        <w:t xml:space="preserve"> </w:t>
      </w:r>
      <w:r w:rsidRPr="00511FFC">
        <w:t>ustaleniu, które nieruchomości stanowią wspólnotę gruntową, ustaleniu wykazu uprawnionych do udziału we wspólnocie gruntowej oraz wykazu obszarów gospodarstw rolnych przez nich posiadanych i</w:t>
      </w:r>
      <w:r>
        <w:t xml:space="preserve"> </w:t>
      </w:r>
      <w:r w:rsidRPr="00511FFC">
        <w:t>wielkości przysługujących im udziałów we wspólnocie – stała się ostateczna, nie można stwierdzić nieważności decyzji, ani nawet stwierdzić, że decyzja została wydana z</w:t>
      </w:r>
      <w:r>
        <w:t xml:space="preserve"> </w:t>
      </w:r>
      <w:r w:rsidRPr="00511FFC">
        <w:t xml:space="preserve">naruszeniem prawa. </w:t>
      </w:r>
      <w:r>
        <w:t xml:space="preserve">Nie jest możliwe zatem </w:t>
      </w:r>
      <w:r w:rsidRPr="008E7D0C">
        <w:t xml:space="preserve">uzyskanie prejudykatu niezbędnego </w:t>
      </w:r>
      <w:r>
        <w:t xml:space="preserve">do </w:t>
      </w:r>
      <w:r w:rsidRPr="008E7D0C">
        <w:t>dochodzenia odpowiedzialności organów władzy publicznej za szkody wyrządzone ostateczną decyzją administracyjną</w:t>
      </w:r>
      <w:r>
        <w:t xml:space="preserve"> (</w:t>
      </w:r>
      <w:r w:rsidRPr="008E7D0C">
        <w:t>do wystąpienia z roszczeniem odszkodowawczym na drodze sądowej</w:t>
      </w:r>
      <w:r>
        <w:t>).</w:t>
      </w:r>
    </w:p>
    <w:p w14:paraId="65426E75" w14:textId="77777777" w:rsidR="00D82574" w:rsidRPr="007D5765" w:rsidRDefault="00D82574" w:rsidP="00D82574">
      <w:pPr>
        <w:pStyle w:val="NIEARTTEKSTtekstnieartykuowanynppodstprawnarozplubpreambua"/>
      </w:pPr>
      <w:r>
        <w:t xml:space="preserve">W proponowanym ust. 1 w </w:t>
      </w:r>
      <w:bookmarkStart w:id="2" w:name="_Hlk185413652"/>
      <w:r w:rsidRPr="004251C3">
        <w:t xml:space="preserve">art. </w:t>
      </w:r>
      <w:r>
        <w:t xml:space="preserve">8o </w:t>
      </w:r>
      <w:bookmarkEnd w:id="2"/>
      <w:r w:rsidRPr="004251C3">
        <w:t>ustawy z dnia 29 czerwca 1963 r. o</w:t>
      </w:r>
      <w:r>
        <w:t> </w:t>
      </w:r>
      <w:r w:rsidRPr="004251C3">
        <w:t>zagospodarowaniu wspólnot gruntowyc</w:t>
      </w:r>
      <w:r>
        <w:t xml:space="preserve">h, z </w:t>
      </w:r>
      <w:r w:rsidRPr="004251C3">
        <w:t xml:space="preserve">dotychczasowego brzmienia art. </w:t>
      </w:r>
      <w:r>
        <w:t xml:space="preserve">8o, </w:t>
      </w:r>
      <w:r w:rsidRPr="004251C3">
        <w:t>wyłączon</w:t>
      </w:r>
      <w:r>
        <w:t>y</w:t>
      </w:r>
      <w:r w:rsidRPr="004251C3">
        <w:t xml:space="preserve"> został tryb nadzwyczajn</w:t>
      </w:r>
      <w:r>
        <w:t>y</w:t>
      </w:r>
      <w:r w:rsidRPr="004251C3">
        <w:t>, o który</w:t>
      </w:r>
      <w:r>
        <w:t>m</w:t>
      </w:r>
      <w:r w:rsidRPr="004251C3">
        <w:t xml:space="preserve"> mowa w art. 15</w:t>
      </w:r>
      <w:r>
        <w:t>6</w:t>
      </w:r>
      <w:r w:rsidRPr="004251C3">
        <w:t xml:space="preserve"> K</w:t>
      </w:r>
      <w:r>
        <w:t xml:space="preserve">pa. </w:t>
      </w:r>
      <w:r w:rsidRPr="004251C3">
        <w:t xml:space="preserve">Zmiana </w:t>
      </w:r>
      <w:r>
        <w:t xml:space="preserve">we wprowadzanym ust. 2 przepisu </w:t>
      </w:r>
      <w:r w:rsidRPr="00213100">
        <w:t xml:space="preserve">art. 8o </w:t>
      </w:r>
      <w:r w:rsidRPr="004251C3">
        <w:t xml:space="preserve">polega na ograniczeniu możliwości stwierdzania nieważności decyzji </w:t>
      </w:r>
      <w:r w:rsidRPr="000A0815">
        <w:t>o</w:t>
      </w:r>
      <w:r>
        <w:t> </w:t>
      </w:r>
      <w:r w:rsidRPr="000A0815">
        <w:t>ustaleniu, które nieruchomości stanowią wspólnotę gruntową, ustaleniu wykazu uprawnionych do udziału we wspólnocie gruntowej oraz wykazu obszarów gospodarstw rolnych przez nich posiadanych i wielkości przysługujących im udziałów we wspólnocie</w:t>
      </w:r>
      <w:r w:rsidRPr="004251C3">
        <w:t xml:space="preserve">, </w:t>
      </w:r>
      <w:r w:rsidRPr="000A0815">
        <w:t>jeżeli od dnia, w którym decyzja stała się ostateczna</w:t>
      </w:r>
      <w:r>
        <w:t xml:space="preserve"> </w:t>
      </w:r>
      <w:r w:rsidRPr="004251C3">
        <w:t>upłynęło 5 lat. Po upływie tego terminu</w:t>
      </w:r>
      <w:r>
        <w:t xml:space="preserve"> do postępowań administracyjnych dotyczących nieważności decyzji, o których mowa powyżej</w:t>
      </w:r>
      <w:r w:rsidRPr="004251C3">
        <w:t>, będą miały zastosowanie przepisy K</w:t>
      </w:r>
      <w:r>
        <w:t>pa</w:t>
      </w:r>
      <w:r w:rsidRPr="004251C3">
        <w:t>, w szczególności art. 158 § 2 i 3, które regulują przesłanki wydania decyzji stwierdzającej, że ostateczna decyzja została wydana z</w:t>
      </w:r>
      <w:r>
        <w:t> </w:t>
      </w:r>
      <w:r w:rsidRPr="004251C3">
        <w:t>naruszeniem prawa.</w:t>
      </w:r>
    </w:p>
    <w:p w14:paraId="40947A96" w14:textId="5AA4FA2F" w:rsidR="00D82574" w:rsidRPr="00511FFC" w:rsidRDefault="00D82574" w:rsidP="00D82574">
      <w:pPr>
        <w:pStyle w:val="NIEARTTEKSTtekstnieartykuowanynppodstprawnarozplubpreambua"/>
      </w:pPr>
      <w:r>
        <w:t xml:space="preserve">W projekcie noweli zawarto </w:t>
      </w:r>
      <w:r w:rsidRPr="00524B7E">
        <w:t xml:space="preserve">przepis przejściowy </w:t>
      </w:r>
      <w:r w:rsidRPr="00524B7E">
        <w:rPr>
          <w:rStyle w:val="Ppogrubienie"/>
          <w:b w:val="0"/>
          <w:bCs w:val="0"/>
        </w:rPr>
        <w:t xml:space="preserve">(proponowany art. 2), zgodnie </w:t>
      </w:r>
      <w:r w:rsidR="00863253">
        <w:rPr>
          <w:rStyle w:val="Ppogrubienie"/>
          <w:b w:val="0"/>
          <w:bCs w:val="0"/>
        </w:rPr>
        <w:br/>
      </w:r>
      <w:r w:rsidRPr="00524B7E">
        <w:rPr>
          <w:rStyle w:val="Ppogrubienie"/>
          <w:b w:val="0"/>
          <w:bCs w:val="0"/>
        </w:rPr>
        <w:t>z którym</w:t>
      </w:r>
      <w:r w:rsidRPr="00524B7E">
        <w:rPr>
          <w:rStyle w:val="Ppogrubienie"/>
        </w:rPr>
        <w:t xml:space="preserve"> </w:t>
      </w:r>
      <w:r w:rsidRPr="00524B7E">
        <w:t>do postępowań administracyjnych</w:t>
      </w:r>
      <w:r>
        <w:t xml:space="preserve"> dotyczących stwierdzenia nieważności decyzji, o których mowa w art. 8o ustawy </w:t>
      </w:r>
      <w:r w:rsidRPr="007D5765">
        <w:t>o zagospodarowaniu wspólnot gruntowych</w:t>
      </w:r>
      <w:r w:rsidRPr="00CB03B4">
        <w:t>, z przyczyn określonych w art. 156</w:t>
      </w:r>
      <w:r>
        <w:t xml:space="preserve"> Kpa,</w:t>
      </w:r>
      <w:r w:rsidRPr="00CB03B4">
        <w:t xml:space="preserve"> </w:t>
      </w:r>
      <w:r w:rsidRPr="00511FFC">
        <w:t>wszczętych i</w:t>
      </w:r>
      <w:r>
        <w:t xml:space="preserve"> </w:t>
      </w:r>
      <w:r w:rsidRPr="00511FFC">
        <w:t xml:space="preserve">niezakończonych przed dniem wejścia w życie ustawy </w:t>
      </w:r>
      <w:r>
        <w:t>będą miały zastosowanie przepisy</w:t>
      </w:r>
      <w:r w:rsidRPr="007D5765">
        <w:t xml:space="preserve"> </w:t>
      </w:r>
      <w:r>
        <w:t>nowe.</w:t>
      </w:r>
    </w:p>
    <w:p w14:paraId="1B2F9E8B" w14:textId="77777777" w:rsidR="00D82574" w:rsidRDefault="00D82574" w:rsidP="00D82574">
      <w:pPr>
        <w:pStyle w:val="NIEARTTEKSTtekstnieartykuowanynppodstprawnarozplubpreambua"/>
      </w:pPr>
      <w:r w:rsidRPr="00511FFC">
        <w:t>Zgodnie z art. 3 projektowanej ustawy</w:t>
      </w:r>
      <w:r>
        <w:t>,</w:t>
      </w:r>
      <w:r w:rsidRPr="00511FFC">
        <w:t xml:space="preserve"> wchodzi ona w życie po upływie 14 dni od dnia ogłoszenia. Zapewnia to minimalne </w:t>
      </w:r>
      <w:r w:rsidRPr="00511FFC">
        <w:rPr>
          <w:i/>
          <w:iCs/>
        </w:rPr>
        <w:t>vacatio legis</w:t>
      </w:r>
      <w:r w:rsidRPr="00511FFC">
        <w:t xml:space="preserve"> zgodnie z przepisami art. 4 ust. 1 ustawy z dnia 20 lipca 2000 r. o ogłaszaniu aktów normatywnych i niektórych innych aktów prawnych</w:t>
      </w:r>
      <w:r>
        <w:t xml:space="preserve"> (Dz. U. z 2019 r. poz. 1461).</w:t>
      </w:r>
    </w:p>
    <w:p w14:paraId="0CE1EA01" w14:textId="061EBCB0" w:rsidR="00D82574" w:rsidRDefault="00D82574" w:rsidP="00D82574">
      <w:pPr>
        <w:pStyle w:val="ARTartustawynprozporzdzenia"/>
        <w:rPr>
          <w:bCs/>
        </w:rPr>
      </w:pPr>
    </w:p>
    <w:p w14:paraId="643956B8" w14:textId="77777777" w:rsidR="00863253" w:rsidRPr="00511FFC" w:rsidRDefault="00863253" w:rsidP="00D82574">
      <w:pPr>
        <w:pStyle w:val="ARTartustawynprozporzdzenia"/>
        <w:rPr>
          <w:bCs/>
        </w:rPr>
      </w:pPr>
    </w:p>
    <w:p w14:paraId="51DAE1FB" w14:textId="77777777" w:rsidR="00D82574" w:rsidRPr="00511FFC" w:rsidRDefault="00D82574" w:rsidP="00D82574">
      <w:pPr>
        <w:pStyle w:val="ARTartustawynprozporzdzenia"/>
        <w:rPr>
          <w:b/>
        </w:rPr>
      </w:pPr>
      <w:r w:rsidRPr="00511FFC">
        <w:rPr>
          <w:b/>
        </w:rPr>
        <w:lastRenderedPageBreak/>
        <w:t xml:space="preserve">4. </w:t>
      </w:r>
      <w:r w:rsidRPr="00F47E35">
        <w:rPr>
          <w:b/>
        </w:rPr>
        <w:t>Skutki i wyniki konsultacji</w:t>
      </w:r>
    </w:p>
    <w:p w14:paraId="551C4E2C" w14:textId="77777777" w:rsidR="00D82574" w:rsidRDefault="00D82574" w:rsidP="00D82574">
      <w:pPr>
        <w:pStyle w:val="NIEARTTEKSTtekstnieartykuowanynppodstprawnarozplubpreambua"/>
      </w:pPr>
      <w:r w:rsidRPr="00F47E35">
        <w:t>Oczekiwane skutki społeczne, gospodarcze i finansowe oraz wyniki konsultacji są przedstawione w Ocenie Skutków Regulacji. Nadesłane w ramach konsultacji opinie i uwagi są zamieszczone na senackiej stronie internetowej</w:t>
      </w:r>
      <w:r>
        <w:t>.</w:t>
      </w:r>
    </w:p>
    <w:p w14:paraId="39EFCEB8" w14:textId="77777777" w:rsidR="00D82574" w:rsidRPr="00511FFC" w:rsidRDefault="00D82574" w:rsidP="00D82574">
      <w:pPr>
        <w:pStyle w:val="ARTartustawynprozporzdzenia"/>
        <w:ind w:firstLine="0"/>
        <w:rPr>
          <w:bCs/>
        </w:rPr>
      </w:pPr>
    </w:p>
    <w:p w14:paraId="3FDA2F6D" w14:textId="77777777" w:rsidR="00D82574" w:rsidRPr="00511FFC" w:rsidRDefault="00D82574" w:rsidP="00D82574">
      <w:pPr>
        <w:pStyle w:val="ARTartustawynprozporzdzenia"/>
        <w:rPr>
          <w:b/>
        </w:rPr>
      </w:pPr>
      <w:r w:rsidRPr="00511FFC">
        <w:rPr>
          <w:b/>
        </w:rPr>
        <w:t>5. Oświadczenie o zgodności z prawem Unii Europejskiej</w:t>
      </w:r>
    </w:p>
    <w:p w14:paraId="305A467C" w14:textId="77777777" w:rsidR="00D82574" w:rsidRPr="00511FFC" w:rsidRDefault="00D82574" w:rsidP="00D82574">
      <w:pPr>
        <w:pStyle w:val="NIEARTTEKSTtekstnieartykuowanynppodstprawnarozplubpreambua"/>
      </w:pPr>
      <w:r w:rsidRPr="00511FFC">
        <w:t>Projektowana ustawa nie jest objęta prawem Unii Europejskiej.</w:t>
      </w:r>
    </w:p>
    <w:p w14:paraId="124ECD61" w14:textId="77777777" w:rsidR="00D82574" w:rsidRDefault="00D82574" w:rsidP="00D82574">
      <w:pPr>
        <w:pStyle w:val="ARTartustawynprozporzdzenia"/>
      </w:pPr>
    </w:p>
    <w:p w14:paraId="7429BCE7" w14:textId="77777777" w:rsidR="00D82574" w:rsidRDefault="00D82574" w:rsidP="00D82574">
      <w:pPr>
        <w:pStyle w:val="ARTartustawynprozporzdzenia"/>
      </w:pPr>
    </w:p>
    <w:p w14:paraId="0040F2BE" w14:textId="77777777" w:rsidR="00D82574" w:rsidRDefault="00D82574" w:rsidP="00D82574">
      <w:pPr>
        <w:pStyle w:val="ARTartustawynprozporzdzenia"/>
      </w:pPr>
    </w:p>
    <w:p w14:paraId="56AD0A36" w14:textId="77777777" w:rsidR="00D82574" w:rsidRPr="00511FFC" w:rsidRDefault="00D82574" w:rsidP="00D82574">
      <w:pPr>
        <w:pStyle w:val="ARTartustawynprozporzdzenia"/>
      </w:pPr>
    </w:p>
    <w:p w14:paraId="02EDDED9" w14:textId="04CFBECE" w:rsidR="00735880" w:rsidRDefault="00735880"/>
    <w:sectPr w:rsidR="00735880" w:rsidSect="00D82574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331CB" w14:textId="77777777" w:rsidR="00D82574" w:rsidRDefault="00D82574" w:rsidP="00D82574">
      <w:pPr>
        <w:spacing w:line="240" w:lineRule="auto"/>
      </w:pPr>
      <w:r>
        <w:separator/>
      </w:r>
    </w:p>
  </w:endnote>
  <w:endnote w:type="continuationSeparator" w:id="0">
    <w:p w14:paraId="5F81B6A6" w14:textId="77777777" w:rsidR="00D82574" w:rsidRDefault="00D82574" w:rsidP="00D82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ED1BD" w14:textId="77777777" w:rsidR="00D82574" w:rsidRDefault="00D82574" w:rsidP="00D82574">
      <w:pPr>
        <w:spacing w:line="240" w:lineRule="auto"/>
      </w:pPr>
      <w:r>
        <w:separator/>
      </w:r>
    </w:p>
  </w:footnote>
  <w:footnote w:type="continuationSeparator" w:id="0">
    <w:p w14:paraId="4D7D2A6B" w14:textId="77777777" w:rsidR="00D82574" w:rsidRDefault="00D82574" w:rsidP="00D825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EB8F" w14:textId="77777777" w:rsidR="008A268E" w:rsidRPr="00B371CC" w:rsidRDefault="0086325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D9362" w14:textId="77777777" w:rsidR="008A268E" w:rsidRPr="00B371CC" w:rsidRDefault="0086325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9130065">
    <w:abstractNumId w:val="2"/>
  </w:num>
  <w:num w:numId="2" w16cid:durableId="2002153755">
    <w:abstractNumId w:val="2"/>
  </w:num>
  <w:num w:numId="3" w16cid:durableId="1516534669">
    <w:abstractNumId w:val="1"/>
  </w:num>
  <w:num w:numId="4" w16cid:durableId="269556148">
    <w:abstractNumId w:val="1"/>
  </w:num>
  <w:num w:numId="5" w16cid:durableId="2138529175">
    <w:abstractNumId w:val="4"/>
  </w:num>
  <w:num w:numId="6" w16cid:durableId="197544894">
    <w:abstractNumId w:val="3"/>
  </w:num>
  <w:num w:numId="7" w16cid:durableId="309746268">
    <w:abstractNumId w:val="4"/>
  </w:num>
  <w:num w:numId="8" w16cid:durableId="707684422">
    <w:abstractNumId w:val="3"/>
  </w:num>
  <w:num w:numId="9" w16cid:durableId="385301424">
    <w:abstractNumId w:val="4"/>
  </w:num>
  <w:num w:numId="10" w16cid:durableId="1192455510">
    <w:abstractNumId w:val="3"/>
  </w:num>
  <w:num w:numId="11" w16cid:durableId="78041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7"/>
    <w:rsid w:val="000A5CE8"/>
    <w:rsid w:val="001A4397"/>
    <w:rsid w:val="002B0A43"/>
    <w:rsid w:val="00382AAC"/>
    <w:rsid w:val="003B69FA"/>
    <w:rsid w:val="004F1121"/>
    <w:rsid w:val="00524B7E"/>
    <w:rsid w:val="00527E52"/>
    <w:rsid w:val="0056045F"/>
    <w:rsid w:val="006F026C"/>
    <w:rsid w:val="00735880"/>
    <w:rsid w:val="00777F90"/>
    <w:rsid w:val="007F20E7"/>
    <w:rsid w:val="00863253"/>
    <w:rsid w:val="00874611"/>
    <w:rsid w:val="008758BB"/>
    <w:rsid w:val="008A268E"/>
    <w:rsid w:val="008C7EE7"/>
    <w:rsid w:val="009D2757"/>
    <w:rsid w:val="00A06AF3"/>
    <w:rsid w:val="00A12675"/>
    <w:rsid w:val="00A64FF7"/>
    <w:rsid w:val="00AF364E"/>
    <w:rsid w:val="00B5303C"/>
    <w:rsid w:val="00D82574"/>
    <w:rsid w:val="00D829F5"/>
    <w:rsid w:val="00E15D93"/>
    <w:rsid w:val="00F10C81"/>
    <w:rsid w:val="00FA79A6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8D1F0"/>
  <w15:chartTrackingRefBased/>
  <w15:docId w15:val="{08D251A1-0A3B-47ED-AE80-DDBCEE4B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675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Theme="minorEastAsia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widowControl/>
      <w:autoSpaceDE/>
      <w:autoSpaceDN/>
      <w:adjustRightInd/>
      <w:spacing w:after="600"/>
      <w:ind w:left="5245"/>
      <w:jc w:val="left"/>
    </w:pPr>
    <w:rPr>
      <w:rFonts w:eastAsia="Times New Roman" w:cs="Times New Roman"/>
    </w:rPr>
  </w:style>
  <w:style w:type="paragraph" w:customStyle="1" w:styleId="Podpis-A7">
    <w:name w:val="Podpis-A7"/>
    <w:basedOn w:val="Normalny"/>
    <w:rsid w:val="00735880"/>
    <w:pPr>
      <w:widowControl/>
      <w:tabs>
        <w:tab w:val="center" w:pos="1701"/>
        <w:tab w:val="center" w:pos="6237"/>
      </w:tabs>
      <w:autoSpaceDE/>
      <w:autoSpaceDN/>
      <w:adjustRightInd/>
      <w:jc w:val="left"/>
    </w:pPr>
    <w:rPr>
      <w:rFonts w:eastAsia="Times New Roman" w:cs="Times New Roman"/>
    </w:rPr>
  </w:style>
  <w:style w:type="paragraph" w:customStyle="1" w:styleId="pkt">
    <w:name w:val="pkt"/>
    <w:basedOn w:val="Normalny"/>
    <w:rsid w:val="00735880"/>
    <w:pPr>
      <w:widowControl/>
      <w:autoSpaceDE/>
      <w:autoSpaceDN/>
      <w:adjustRightInd/>
      <w:ind w:left="357" w:hanging="357"/>
    </w:pPr>
    <w:rPr>
      <w:rFonts w:eastAsia="Times New Roman" w:cs="Times New Roman"/>
    </w:rPr>
  </w:style>
  <w:style w:type="paragraph" w:customStyle="1" w:styleId="ppkt">
    <w:name w:val="ppkt"/>
    <w:basedOn w:val="Normalny"/>
    <w:rsid w:val="00735880"/>
    <w:pPr>
      <w:widowControl/>
      <w:autoSpaceDE/>
      <w:autoSpaceDN/>
      <w:adjustRightInd/>
      <w:ind w:left="782" w:hanging="425"/>
    </w:pPr>
    <w:rPr>
      <w:rFonts w:eastAsia="Times New Roman" w:cs="Times New Roman"/>
    </w:rPr>
  </w:style>
  <w:style w:type="paragraph" w:customStyle="1" w:styleId="akapit">
    <w:name w:val="akapit"/>
    <w:basedOn w:val="Normalny"/>
    <w:rsid w:val="00735880"/>
    <w:pPr>
      <w:widowControl/>
      <w:autoSpaceDE/>
      <w:autoSpaceDN/>
      <w:adjustRightInd/>
      <w:ind w:firstLine="851"/>
    </w:pPr>
    <w:rPr>
      <w:rFonts w:eastAsia="Times New Roman" w:cs="Times New Roman"/>
    </w:rPr>
  </w:style>
  <w:style w:type="paragraph" w:customStyle="1" w:styleId="art">
    <w:name w:val="art"/>
    <w:basedOn w:val="Normalny"/>
    <w:rsid w:val="00735880"/>
    <w:pPr>
      <w:widowControl/>
      <w:tabs>
        <w:tab w:val="left" w:pos="1276"/>
      </w:tabs>
      <w:autoSpaceDE/>
      <w:autoSpaceDN/>
      <w:adjustRightInd/>
      <w:ind w:left="1276" w:hanging="992"/>
      <w:jc w:val="left"/>
    </w:pPr>
    <w:rPr>
      <w:rFonts w:eastAsia="Times New Roman" w:cs="Times New Roman"/>
    </w:r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  <w:pPr>
      <w:widowControl/>
      <w:autoSpaceDE/>
      <w:autoSpaceDN/>
      <w:adjustRightInd/>
      <w:jc w:val="left"/>
    </w:pPr>
    <w:rPr>
      <w:rFonts w:eastAsia="Times New Roman" w:cs="Times New Roman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6"/>
    <w:qFormat/>
    <w:rsid w:val="00A12675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basedOn w:val="Domylnaczcionkaakapitu"/>
    <w:link w:val="DATAAKTUdatauchwalenialubwydaniaaktu"/>
    <w:uiPriority w:val="6"/>
    <w:rsid w:val="00A12675"/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A12675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6"/>
    <w:rsid w:val="00A12675"/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reambua">
    <w:name w:val="NIEART_TEKST – tekst nieartykułowany (np. preambuła)"/>
    <w:basedOn w:val="Normalny"/>
    <w:next w:val="Normalny"/>
    <w:link w:val="NIEARTTEKSTtekstnieartykuowanynppreambuaZnak"/>
    <w:uiPriority w:val="4"/>
    <w:qFormat/>
    <w:rsid w:val="00A12675"/>
    <w:pPr>
      <w:widowControl/>
      <w:suppressAutoHyphens/>
      <w:spacing w:before="120"/>
      <w:ind w:firstLine="510"/>
    </w:pPr>
    <w:rPr>
      <w:rFonts w:ascii="Times" w:hAnsi="Times"/>
      <w:bCs/>
    </w:rPr>
  </w:style>
  <w:style w:type="character" w:customStyle="1" w:styleId="NIEARTTEKSTtekstnieartykuowanynppreambuaZnak">
    <w:name w:val="NIEART_TEKST – tekst nieartykułowany (np. preambuła) Znak"/>
    <w:basedOn w:val="Domylnaczcionkaakapitu"/>
    <w:link w:val="NIEARTTEKSTtekstnieartykuowanynppreambua"/>
    <w:uiPriority w:val="4"/>
    <w:rsid w:val="00A12675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A12675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A12675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POPIERAJCYPOPRAWKZAMIESZCZONWZESTAWIENIUWNIOSKW">
    <w:name w:val="POPIERAJĄCY POPRAWKĘ ZAMIESZCZONĄ W ZESTAWIENIU WNIOSKÓW"/>
    <w:basedOn w:val="Normalny"/>
    <w:qFormat/>
    <w:rsid w:val="00A12675"/>
    <w:pPr>
      <w:widowControl/>
      <w:autoSpaceDE/>
      <w:autoSpaceDN/>
      <w:adjustRightInd/>
      <w:spacing w:line="240" w:lineRule="auto"/>
      <w:contextualSpacing/>
      <w:jc w:val="left"/>
    </w:pPr>
    <w:rPr>
      <w:sz w:val="20"/>
    </w:rPr>
  </w:style>
  <w:style w:type="character" w:customStyle="1" w:styleId="Ppogrubienie">
    <w:name w:val="_P_ – pogrubienie"/>
    <w:basedOn w:val="Domylnaczcionkaakapitu"/>
    <w:uiPriority w:val="1"/>
    <w:qFormat/>
    <w:rsid w:val="00A12675"/>
    <w:rPr>
      <w:b/>
    </w:rPr>
  </w:style>
  <w:style w:type="paragraph" w:styleId="Nagwek">
    <w:name w:val="header"/>
    <w:basedOn w:val="Normalny"/>
    <w:link w:val="NagwekZnak"/>
    <w:uiPriority w:val="99"/>
    <w:semiHidden/>
    <w:rsid w:val="00D8257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82574"/>
    <w:rPr>
      <w:rFonts w:ascii="Times" w:hAnsi="Times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D8257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82574"/>
    <w:pPr>
      <w:spacing w:before="0"/>
      <w:ind w:left="510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82574"/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D82574"/>
    <w:pPr>
      <w:spacing w:line="360" w:lineRule="auto"/>
      <w:jc w:val="right"/>
    </w:pPr>
    <w:rPr>
      <w:rFonts w:eastAsiaTheme="minorEastAsia" w:cs="Arial"/>
      <w:sz w:val="24"/>
      <w:u w:val="singl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82574"/>
    <w:rPr>
      <w:bCs/>
    </w:rPr>
  </w:style>
  <w:style w:type="paragraph" w:customStyle="1" w:styleId="PKTpunkt">
    <w:name w:val="PKT – punkt"/>
    <w:uiPriority w:val="13"/>
    <w:qFormat/>
    <w:rsid w:val="00D82574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styleId="Stopka">
    <w:name w:val="footer"/>
    <w:basedOn w:val="Normalny"/>
    <w:link w:val="StopkaZnak"/>
    <w:uiPriority w:val="99"/>
    <w:unhideWhenUsed/>
    <w:rsid w:val="00D825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574"/>
    <w:rPr>
      <w:rFonts w:eastAsiaTheme="minorEastAsia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2392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dora_graziewicz</dc:creator>
  <cp:keywords/>
  <dc:description/>
  <cp:lastModifiedBy>Grzegorz Molesztak</cp:lastModifiedBy>
  <cp:revision>5</cp:revision>
  <dcterms:created xsi:type="dcterms:W3CDTF">2025-01-08T12:27:00Z</dcterms:created>
  <dcterms:modified xsi:type="dcterms:W3CDTF">2025-02-04T19:05:00Z</dcterms:modified>
</cp:coreProperties>
</file>